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1780" w14:textId="77777777" w:rsidR="00BC6D22" w:rsidRPr="00BC6D22" w:rsidRDefault="00BC6D22" w:rsidP="00BC6D22">
      <w:pPr>
        <w:spacing w:after="0"/>
        <w:ind w:firstLine="709"/>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Практикалық сабақ  ПС-6. ҚР Мемлекеттік және азаматтық кәсіби қызметтегі өзгерістерді басқару тәсілдері, моделдері</w:t>
      </w:r>
    </w:p>
    <w:p w14:paraId="51A46B21" w14:textId="77777777" w:rsidR="00BC6D22" w:rsidRPr="00BC6D22" w:rsidRDefault="00BC6D22" w:rsidP="00BC6D22">
      <w:pPr>
        <w:spacing w:after="0"/>
        <w:ind w:firstLine="709"/>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Сабақтың  мақсаты – Студенттерге   Мемлекеттік және азаматтық кәсіби қызметтегі өзгерістерді басқару тәсілдері, моделдерін жан-жақты кешенді </w:t>
      </w:r>
      <w:r w:rsidRPr="00BC6D22">
        <w:rPr>
          <w:rFonts w:ascii="Times New Roman" w:hAnsi="Times New Roman" w:cs="Times New Roman"/>
          <w:bCs/>
          <w:sz w:val="32"/>
          <w:szCs w:val="32"/>
          <w:lang w:val="kk-KZ"/>
        </w:rPr>
        <w:t>пікір алмасу</w:t>
      </w:r>
      <w:r w:rsidRPr="00BC6D22">
        <w:rPr>
          <w:rFonts w:ascii="Times New Roman" w:hAnsi="Times New Roman" w:cs="Times New Roman"/>
          <w:sz w:val="32"/>
          <w:szCs w:val="32"/>
          <w:lang w:val="kk-KZ" w:eastAsia="ko-KR"/>
        </w:rPr>
        <w:t xml:space="preserve"> және ой-тұжырымдар </w:t>
      </w:r>
    </w:p>
    <w:p w14:paraId="2BAEC4D4" w14:textId="77777777" w:rsidR="00BC6D22" w:rsidRPr="00BC6D22" w:rsidRDefault="00BC6D22" w:rsidP="00BC6D22">
      <w:pPr>
        <w:tabs>
          <w:tab w:val="left" w:pos="1380"/>
        </w:tabs>
        <w:rPr>
          <w:rFonts w:ascii="Times New Roman" w:hAnsi="Times New Roman" w:cs="Times New Roman"/>
          <w:sz w:val="32"/>
          <w:szCs w:val="32"/>
          <w:lang w:val="kk-KZ"/>
        </w:rPr>
      </w:pPr>
    </w:p>
    <w:p w14:paraId="6AC1CBCF" w14:textId="77777777" w:rsidR="00BC6D22" w:rsidRPr="00BC6D22" w:rsidRDefault="00BC6D22" w:rsidP="00BC6D22">
      <w:pPr>
        <w:tabs>
          <w:tab w:val="left" w:pos="1380"/>
        </w:tabs>
        <w:rPr>
          <w:rFonts w:ascii="Times New Roman" w:hAnsi="Times New Roman" w:cs="Times New Roman"/>
          <w:sz w:val="32"/>
          <w:szCs w:val="32"/>
          <w:lang w:val="kk-KZ"/>
        </w:rPr>
      </w:pPr>
      <w:r w:rsidRPr="00BC6D22">
        <w:rPr>
          <w:rFonts w:ascii="Times New Roman" w:hAnsi="Times New Roman" w:cs="Times New Roman"/>
          <w:sz w:val="32"/>
          <w:szCs w:val="32"/>
          <w:lang w:val="kk-KZ"/>
        </w:rPr>
        <w:t>Сұрақтар:</w:t>
      </w:r>
    </w:p>
    <w:p w14:paraId="27B4B964" w14:textId="77777777" w:rsidR="00BC6D22" w:rsidRPr="00BC6D22" w:rsidRDefault="00BC6D22" w:rsidP="00BC6D22">
      <w:pPr>
        <w:pStyle w:val="a3"/>
        <w:numPr>
          <w:ilvl w:val="0"/>
          <w:numId w:val="2"/>
        </w:numPr>
        <w:tabs>
          <w:tab w:val="left" w:pos="1380"/>
        </w:tabs>
        <w:rPr>
          <w:rFonts w:ascii="Times New Roman" w:hAnsi="Times New Roman" w:cs="Times New Roman"/>
          <w:sz w:val="32"/>
          <w:szCs w:val="32"/>
          <w:lang w:val="kk-KZ"/>
        </w:rPr>
      </w:pPr>
      <w:r w:rsidRPr="00BC6D22">
        <w:rPr>
          <w:rFonts w:ascii="Times New Roman" w:hAnsi="Times New Roman" w:cs="Times New Roman"/>
          <w:sz w:val="32"/>
          <w:szCs w:val="32"/>
          <w:lang w:val="kk-KZ"/>
        </w:rPr>
        <w:t>Мемлекеттік және азаматтық кәсіби қызметтегі өзгерістерді басқару тәсілдері</w:t>
      </w:r>
    </w:p>
    <w:p w14:paraId="5B38E819" w14:textId="77777777" w:rsidR="00BC6D22" w:rsidRPr="00BC6D22" w:rsidRDefault="00BC6D22" w:rsidP="00BC6D22">
      <w:pPr>
        <w:pStyle w:val="a3"/>
        <w:numPr>
          <w:ilvl w:val="0"/>
          <w:numId w:val="2"/>
        </w:numPr>
        <w:tabs>
          <w:tab w:val="left" w:pos="1380"/>
        </w:tabs>
        <w:rPr>
          <w:sz w:val="32"/>
          <w:szCs w:val="32"/>
          <w:lang w:val="kk-KZ"/>
        </w:rPr>
      </w:pPr>
      <w:r w:rsidRPr="00BC6D22">
        <w:rPr>
          <w:rFonts w:ascii="Times New Roman" w:hAnsi="Times New Roman" w:cs="Times New Roman"/>
          <w:sz w:val="32"/>
          <w:szCs w:val="32"/>
          <w:lang w:val="kk-KZ"/>
        </w:rPr>
        <w:t>ҚР Мемлекеттік және азаматтық кәсіби қызметтегі өзгерістерді басқарудың моделдері</w:t>
      </w:r>
    </w:p>
    <w:p w14:paraId="312CFED2" w14:textId="77777777" w:rsidR="00BC6D22" w:rsidRPr="00BC6D22" w:rsidRDefault="00BC6D22" w:rsidP="00BC6D22">
      <w:pPr>
        <w:spacing w:after="0"/>
        <w:ind w:firstLine="709"/>
        <w:jc w:val="both"/>
        <w:rPr>
          <w:rFonts w:ascii="Times New Roman" w:hAnsi="Times New Roman" w:cs="Times New Roman"/>
          <w:sz w:val="32"/>
          <w:szCs w:val="32"/>
          <w:lang w:val="kk-KZ"/>
        </w:rPr>
      </w:pPr>
    </w:p>
    <w:p w14:paraId="26387BCF" w14:textId="77777777" w:rsidR="00BC6D22" w:rsidRPr="00BC6D22" w:rsidRDefault="00BC6D22" w:rsidP="00BC6D22">
      <w:pPr>
        <w:rPr>
          <w:rFonts w:ascii="Times New Roman" w:hAnsi="Times New Roman" w:cs="Times New Roman"/>
          <w:sz w:val="32"/>
          <w:szCs w:val="32"/>
          <w:lang w:val="kk-KZ"/>
        </w:rPr>
      </w:pPr>
    </w:p>
    <w:p w14:paraId="5FF26C8B"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Мемлекеттік қызметті басқару тетіктері көптеген технологиялардың көмегімен іске асырылады, олардың арасында мемлекеттік қызметшілерді іріктеу, жоғарылату және ротациялау, олардың жұмысының тиімділігін бағалау, мемлекеттік органдардағы кадрлық жағдайды талдау, мемлекеттік қызметшілердің қызметін ынталандыру және т.б. </w:t>
      </w:r>
    </w:p>
    <w:p w14:paraId="723B011C"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Технологиялар бірінші кезекте мынадай элементтердің қатаң үйлестірілген жүйесі болып табылады:</w:t>
      </w:r>
    </w:p>
    <w:p w14:paraId="5CA68F99"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мақсаттар - рәсімдер (қағидалар);</w:t>
      </w:r>
    </w:p>
    <w:p w14:paraId="7CDFC74E"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техникалық құралдар;</w:t>
      </w:r>
    </w:p>
    <w:p w14:paraId="2FEDFCAA"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операциялар (іс - қимылдар);</w:t>
      </w:r>
    </w:p>
    <w:p w14:paraId="5802CD03"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себептер (ынталандырулар).</w:t>
      </w:r>
    </w:p>
    <w:p w14:paraId="7E7FE253"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Ондағы ең бастысы-элементтердің дәйектілігі мен дәйектілігі, ол білім беру, білім беру, ақпараттық, өндірістік, сервистік, коммуникациялық, басқарушылық болсын, кез-келген технология үшін қажет. Барлық жерде тұжырымдалған мақсаттарды жүзеге асыру белгілі бір негізделген және нәтижелі әрекеттердің логикасын білдіретін нақты, айқын және тұрақты орындалатын процедураларды белгілеу арқылы жүзеге асырылуы керек.</w:t>
      </w:r>
    </w:p>
    <w:p w14:paraId="0B1A7C1F"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мемлекеттік билік органдарындағы мемлекеттік қызметтің жай-күйі мен тиімділігін талдау;</w:t>
      </w:r>
    </w:p>
    <w:p w14:paraId="12186F61"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lastRenderedPageBreak/>
        <w:t>- мемлекеттік қызмет мәселелері бойынша нормативтік актілердің жобаларын әзірлеуді үйлестіру;</w:t>
      </w:r>
    </w:p>
    <w:p w14:paraId="4E75A5F8"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тиісті мемлекеттік органдармен бірлесіп конкурстық комиссияларды қалыптастыру, аттестациялар мен мемлекеттік біліктілік емтихандарын өткізу жөніндегі жұмыстарды ұйымдастыру;</w:t>
      </w:r>
    </w:p>
    <w:p w14:paraId="126CEABF"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азаматтарды мемлекеттік қызметтің бос мемлекеттік лауазымдарына орналасуға конкурс өткізу туралы хабардар ету;</w:t>
      </w:r>
    </w:p>
    <w:p w14:paraId="77765815"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мемлекеттік қызмет және мемлекеттік қызметтің кадр қызметтері мәселелері бойынша органдардың әдістемелік жұмысын үйлестіру;;</w:t>
      </w:r>
    </w:p>
    <w:p w14:paraId="121E0E66"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ҚР мемлекеттік лауазымдар тізілімін қалыптастыру және оған өзгерістер енгізу бойынша ұсыныстар әзірлеу;</w:t>
      </w:r>
    </w:p>
    <w:p w14:paraId="261B20C5"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мемлекеттік қызметшілердің федералды тізілімін енгізу;</w:t>
      </w:r>
    </w:p>
    <w:p w14:paraId="79C4E481"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мемлекеттік қызметшілерді кәсіби даярлауға, қайта даярлауға (қайта мамандандыруға) және олардың біліктілігін арттыруға әдістемелік басшылықты жүзеге асыру, сондай-ақ жоғары тұрған мемлекеттік лауазымдарға ұсынуға резерв қалыптастыру.</w:t>
      </w:r>
    </w:p>
    <w:p w14:paraId="117F18E2"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Мемлекеттік басқару жүйесі реформасының кезекті бесінші кезеңінің уақыты келді, ол мынадай проблемалы аймақтарды:</w:t>
      </w:r>
    </w:p>
    <w:p w14:paraId="53EA5EDB"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6145DFB5"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мемлекеттік аппараттың халық пен бизнестің қажеттіліктеріне бағдарланбаған функцияларын;</w:t>
      </w:r>
    </w:p>
    <w:p w14:paraId="50A40F06"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мемлекеттік көрсетілетін қызметтердің әкімшілік сипатын;</w:t>
      </w:r>
    </w:p>
    <w:p w14:paraId="40E14514"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бәсекеге қабілетсіз мемлекеттік қызметті;</w:t>
      </w:r>
    </w:p>
    <w:p w14:paraId="1D23D953"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тиімсіз квазимемлекеттік секторды;</w:t>
      </w:r>
    </w:p>
    <w:p w14:paraId="0354FC74"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дамымаған жергілікті өзін-өзі басқаруды;</w:t>
      </w:r>
    </w:p>
    <w:p w14:paraId="6E65A390"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  бизнестің дамуына кедергі келтіретін шамадан тыс реттеуді;</w:t>
      </w:r>
    </w:p>
    <w:p w14:paraId="4C40B8B6"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69FAF029" w14:textId="77777777" w:rsidR="00BC6D22" w:rsidRPr="00BC6D22" w:rsidRDefault="00BC6D22" w:rsidP="00BC6D22">
      <w:pPr>
        <w:spacing w:after="0"/>
        <w:jc w:val="both"/>
        <w:rPr>
          <w:rFonts w:ascii="Times New Roman" w:hAnsi="Times New Roman" w:cs="Times New Roman"/>
          <w:sz w:val="32"/>
          <w:szCs w:val="32"/>
          <w:lang w:val="kk-KZ"/>
        </w:rPr>
      </w:pPr>
    </w:p>
    <w:p w14:paraId="5ADC5120"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t xml:space="preserve">       Азаматтар мен мемлекет арасында тиісті өзара іс-қимылдың болмауы</w:t>
      </w:r>
    </w:p>
    <w:p w14:paraId="5121189B" w14:textId="77777777" w:rsidR="00BC6D22" w:rsidRPr="00BC6D22" w:rsidRDefault="00BC6D22" w:rsidP="00BC6D22">
      <w:pPr>
        <w:spacing w:after="0"/>
        <w:jc w:val="both"/>
        <w:rPr>
          <w:rFonts w:ascii="Times New Roman" w:hAnsi="Times New Roman" w:cs="Times New Roman"/>
          <w:sz w:val="32"/>
          <w:szCs w:val="32"/>
          <w:lang w:val="kk-KZ"/>
        </w:rPr>
      </w:pPr>
      <w:r w:rsidRPr="00BC6D22">
        <w:rPr>
          <w:rFonts w:ascii="Times New Roman" w:hAnsi="Times New Roman" w:cs="Times New Roman"/>
          <w:sz w:val="32"/>
          <w:szCs w:val="32"/>
          <w:lang w:val="kk-KZ"/>
        </w:rPr>
        <w:lastRenderedPageBreak/>
        <w:t xml:space="preserve">      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2410B3DC" w14:textId="77777777" w:rsidR="00D30BEA" w:rsidRPr="00B644B7" w:rsidRDefault="00D30BEA" w:rsidP="00D30BEA">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2FD0D551" w14:textId="77777777" w:rsidR="00B644B7" w:rsidRPr="00B644B7" w:rsidRDefault="00000000" w:rsidP="00D30BEA">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9944875"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48ACAE02"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239C6629"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207E7CB"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45439BA"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6E376C62"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5F45E74E"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7C79758"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5F05D60C"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7DF16458" w14:textId="77777777" w:rsidR="00D30BEA" w:rsidRPr="00B644B7" w:rsidRDefault="00D30BEA" w:rsidP="00D30BEA">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30A389F1" w14:textId="77777777" w:rsidR="00D30BEA" w:rsidRPr="00B644B7" w:rsidRDefault="00D30BEA" w:rsidP="00D30BEA">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0CEFB3B4"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62CDA900" w14:textId="77777777" w:rsidR="00D30BEA" w:rsidRPr="00B644B7" w:rsidRDefault="00D30BEA" w:rsidP="00D30BEA">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06D95014"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59E1B208"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4277C189"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07487C70"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2DA9C19"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17A32288" w14:textId="77777777" w:rsidR="00D30BEA" w:rsidRPr="00B644B7" w:rsidRDefault="00D30BEA" w:rsidP="00D30BE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68707EC4"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EBC215C" w14:textId="77777777" w:rsidR="00D30BEA" w:rsidRPr="00B644B7" w:rsidRDefault="00D30BEA" w:rsidP="00D30BEA">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52589F70"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CE95D70"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0FB24BAF"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460E42AE" w14:textId="77777777" w:rsidR="00D30BEA" w:rsidRPr="00B644B7" w:rsidRDefault="00D30BEA" w:rsidP="00D30B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C20D957" w14:textId="77777777" w:rsidR="00D30BEA" w:rsidRPr="00B644B7" w:rsidRDefault="00D30BEA" w:rsidP="00D30BEA">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033EA711" w14:textId="77777777" w:rsidR="00D30BEA" w:rsidRPr="00B644B7" w:rsidRDefault="00D30BEA" w:rsidP="00D30BEA">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59BDD18" w14:textId="77777777" w:rsidR="00D30BEA" w:rsidRPr="00B644B7" w:rsidRDefault="00D30BEA" w:rsidP="00D30BE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77D91C1" w14:textId="77777777" w:rsidR="00D30BEA" w:rsidRPr="00B644B7" w:rsidRDefault="00D30BEA" w:rsidP="00D30BE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474D4DCA" w14:textId="77777777" w:rsidR="00D30BEA" w:rsidRPr="00B644B7" w:rsidRDefault="00D30BEA" w:rsidP="00D30BE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7BAE0C74" w14:textId="77777777" w:rsidR="00D30BEA" w:rsidRPr="00B644B7" w:rsidRDefault="00D30BEA" w:rsidP="00D30BE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F20C8AE" w14:textId="77777777" w:rsidR="00D30BEA" w:rsidRPr="00B644B7" w:rsidRDefault="00D30BEA" w:rsidP="00D30BE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7BFB5DF" w14:textId="77777777" w:rsidR="00D30BEA" w:rsidRPr="00B644B7" w:rsidRDefault="00D30BEA" w:rsidP="00D30BEA">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60B0ECC0" w14:textId="77777777" w:rsidR="00D30BEA" w:rsidRPr="00B644B7" w:rsidRDefault="00D30BEA" w:rsidP="00D30BE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7E775930" w14:textId="77777777" w:rsidR="00D30BEA" w:rsidRPr="00B644B7" w:rsidRDefault="00D30BEA" w:rsidP="00D30BE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43A585AA" w14:textId="77777777" w:rsidR="00D30BEA" w:rsidRPr="00B644B7" w:rsidRDefault="00D30BEA" w:rsidP="00D30BE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4005B515" w14:textId="77777777" w:rsidR="00D30BEA" w:rsidRPr="00B644B7" w:rsidRDefault="00D30BEA" w:rsidP="00D30BE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3600B6CE" w14:textId="77777777" w:rsidR="00D30BEA" w:rsidRPr="00B644B7" w:rsidRDefault="00D30BEA" w:rsidP="00D30BE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5471BDF3" w14:textId="77777777" w:rsidR="00D30BEA" w:rsidRPr="00B644B7" w:rsidRDefault="00D30BEA" w:rsidP="00D30BEA">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5482C01A" w14:textId="77777777" w:rsidR="00D30BEA" w:rsidRPr="00D30BEA" w:rsidRDefault="00D30BEA" w:rsidP="00D30BEA">
      <w:pPr>
        <w:rPr>
          <w:lang w:val="kk-KZ"/>
        </w:rPr>
      </w:pPr>
    </w:p>
    <w:sectPr w:rsidR="00D30BEA" w:rsidRPr="00D30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650F2F80"/>
    <w:multiLevelType w:val="hybridMultilevel"/>
    <w:tmpl w:val="1A8CB678"/>
    <w:lvl w:ilvl="0" w:tplc="A72CB91E">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4085378">
    <w:abstractNumId w:val="0"/>
  </w:num>
  <w:num w:numId="2" w16cid:durableId="20764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1"/>
    <w:rsid w:val="006670A1"/>
    <w:rsid w:val="00BC6D22"/>
    <w:rsid w:val="00D30BEA"/>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C7D39-43F7-4A3B-BD40-899B5FD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BEA"/>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C6D22"/>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BC6D2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2022-12-15T15:41:00Z</dcterms:created>
  <dcterms:modified xsi:type="dcterms:W3CDTF">2022-12-16T04:31:00Z</dcterms:modified>
</cp:coreProperties>
</file>